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0"/>
        <w:jc w:val="center"/>
      </w:pPr>
      <w:r>
        <w:rPr>
          <w:rFonts w:ascii="Arial" w:hAnsi="Arial" w:eastAsia="Arial"/>
          <w:b/>
          <w:i w:val="0"/>
          <w:color w:val="0B1F3A"/>
          <w:sz w:val="60"/>
        </w:rPr>
        <w:t>Manual Profesional Completo</w:t>
      </w:r>
    </w:p>
    <w:p>
      <w:pPr>
        <w:spacing w:before="200"/>
        <w:jc w:val="center"/>
      </w:pPr>
      <w:r>
        <w:rPr>
          <w:rFonts w:ascii="Arial" w:hAnsi="Arial" w:eastAsia="Arial"/>
          <w:b w:val="0"/>
          <w:i w:val="0"/>
          <w:color w:val="1E4FAF"/>
          <w:sz w:val="30"/>
        </w:rPr>
        <w:t>Ledyvas — Documentación Oficial del Sistema</w:t>
      </w:r>
    </w:p>
    <w:p>
      <w:pPr>
        <w:spacing w:before="600"/>
        <w:jc w:val="center"/>
      </w:pPr>
      <w:r>
        <w:rPr>
          <w:rFonts w:ascii="Arial" w:hAnsi="Arial" w:eastAsia="Arial"/>
          <w:b w:val="0"/>
          <w:i/>
          <w:color w:val="5F6368"/>
          <w:sz w:val="20"/>
        </w:rPr>
        <w:t>Última actualización: 27 de julio de 2026</w:t>
      </w:r>
    </w:p>
    <w:p>
      <w:pPr>
        <w:spacing w:before="1200" w:after="0"/>
        <w:ind w:left="1134" w:right="1134"/>
        <w:jc w:val="center"/>
      </w:pPr>
      <w:r>
        <w:rPr>
          <w:rFonts w:ascii="Arial" w:hAnsi="Arial" w:eastAsia="Arial"/>
          <w:b w:val="0"/>
          <w:i/>
          <w:color w:val="5F6368"/>
          <w:sz w:val="22"/>
        </w:rPr>
        <w:t>Este documento describe la arquitectura, la lógica de negocio y el funcionamiento interno de cada módulo de Ledyvas, para administradores, integradores y usuarios avanzados. Complementa al Manual de Usuario Básico, que cubre el uso diario paso a paso.</w:t>
      </w:r>
    </w:p>
    <w:p>
      <w:r>
        <w:br w:type="page"/>
      </w:r>
    </w:p>
    <w:p>
      <w:pPr>
        <w:keepNext/>
        <w:spacing w:before="80" w:after="200"/>
        <w:pBdr>
          <w:bottom w:val="single" w:sz="8" w:space="4" w:color="C89B3C"/>
        </w:pBdr>
      </w:pPr>
      <w:r>
        <w:rPr>
          <w:rFonts w:ascii="Arial" w:hAnsi="Arial" w:eastAsia="Arial"/>
          <w:b/>
          <w:i w:val="0"/>
          <w:color w:val="0B1F3A"/>
          <w:sz w:val="36"/>
        </w:rPr>
        <w:t>1. Introducción</w:t>
      </w:r>
    </w:p>
    <w:p>
      <w:pPr>
        <w:keepNext/>
        <w:spacing w:before="240" w:after="80"/>
      </w:pPr>
      <w:r>
        <w:rPr>
          <w:rFonts w:ascii="Arial" w:hAnsi="Arial" w:eastAsia="Arial"/>
          <w:b/>
          <w:i w:val="0"/>
          <w:color w:val="1E4FAF"/>
          <w:sz w:val="25"/>
        </w:rPr>
        <w:t>Qué es Ledyvas</w:t>
      </w:r>
    </w:p>
    <w:p>
      <w:pPr>
        <w:spacing w:after="160" w:line="283" w:lineRule="auto"/>
      </w:pPr>
      <w:r>
        <w:rPr>
          <w:rFonts w:ascii="Arial" w:hAnsi="Arial" w:eastAsia="Arial"/>
          <w:b w:val="0"/>
          <w:i w:val="0"/>
          <w:sz w:val="22"/>
        </w:rPr>
        <w:t>Ledyvas es una aplicación de escritorio de gestión empresarial (ERP), construida sobre Electron con una base de datos SQLite local (better-sqlite3). Cubre el ciclo completo de un negocio operativo: compras, almacén, producción, ventas, distribución a revendedores, flota/equipos y reportes, con un módulo adicional de comparación de precios entre proveedores.</w:t>
      </w:r>
    </w:p>
    <w:p>
      <w:pPr>
        <w:keepNext/>
        <w:spacing w:before="240" w:after="80"/>
      </w:pPr>
      <w:r>
        <w:rPr>
          <w:rFonts w:ascii="Arial" w:hAnsi="Arial" w:eastAsia="Arial"/>
          <w:b/>
          <w:i w:val="0"/>
          <w:color w:val="1E4FAF"/>
          <w:sz w:val="25"/>
        </w:rPr>
        <w:t>Principios de arquitectura</w:t>
      </w:r>
    </w:p>
    <w:p>
      <w:pPr>
        <w:pStyle w:val="ListBullet"/>
        <w:spacing w:after="120" w:line="276" w:lineRule="auto"/>
      </w:pPr>
      <w:r>
        <w:rPr>
          <w:rFonts w:ascii="Arial" w:hAnsi="Arial" w:eastAsia="Arial"/>
          <w:b w:val="0"/>
          <w:i w:val="0"/>
          <w:sz w:val="22"/>
        </w:rPr>
        <w:t>Datos locales: toda la información vive en un archivo de base de datos SQLite dentro de la carpeta Data, junto al ejecutable. No hay servidor central ni sincronización en la nube.</w:t>
      </w:r>
    </w:p>
    <w:p>
      <w:pPr>
        <w:pStyle w:val="ListBullet"/>
        <w:spacing w:after="120" w:line="276" w:lineRule="auto"/>
      </w:pPr>
      <w:r>
        <w:rPr>
          <w:rFonts w:ascii="Arial" w:hAnsi="Arial" w:eastAsia="Arial"/>
          <w:b w:val="0"/>
          <w:i w:val="0"/>
          <w:sz w:val="22"/>
        </w:rPr>
        <w:t>Instalación portátil: tanto la versión con instalador (NSIS) como la versión portátil crean sus carpetas de trabajo (Data, Backup, Export, PDF, Logs) junto al ejecutable, no en AppData. Esto permite ejecutar Ledyvas completo desde una memoria USB, sin dejar rastro en la computadora donde se usa.</w:t>
      </w:r>
    </w:p>
    <w:p>
      <w:pPr>
        <w:pStyle w:val="ListBullet"/>
        <w:spacing w:after="120" w:line="276" w:lineRule="auto"/>
      </w:pPr>
      <w:r>
        <w:rPr>
          <w:rFonts w:ascii="Arial" w:hAnsi="Arial" w:eastAsia="Arial"/>
          <w:b w:val="0"/>
          <w:i w:val="0"/>
          <w:sz w:val="22"/>
        </w:rPr>
        <w:t>Sin conexión requerida: ningún módulo depende de internet para funcionar.</w:t>
      </w:r>
    </w:p>
    <w:p>
      <w:pPr>
        <w:pStyle w:val="ListBullet"/>
        <w:spacing w:after="120" w:line="276" w:lineRule="auto"/>
      </w:pPr>
      <w:r>
        <w:rPr>
          <w:rFonts w:ascii="Arial" w:hAnsi="Arial" w:eastAsia="Arial"/>
          <w:b w:val="0"/>
          <w:i w:val="0"/>
          <w:sz w:val="22"/>
        </w:rPr>
        <w:t>Multi-idioma: la interfaz soporta 5 idiomas (español, italiano, inglés, francés, portugués), con diccionarios independientes para el frontend y para los mensajes del proceso principal (backend). El idioma se cambia desde la barra superior y se guarda por instalación, no por usuario.</w:t>
      </w:r>
    </w:p>
    <w:p>
      <w:pPr>
        <w:keepNext/>
        <w:spacing w:before="240" w:after="80"/>
      </w:pPr>
      <w:r>
        <w:rPr>
          <w:rFonts w:ascii="Arial" w:hAnsi="Arial" w:eastAsia="Arial"/>
          <w:b/>
          <w:i w:val="0"/>
          <w:color w:val="1E4FAF"/>
          <w:sz w:val="25"/>
        </w:rPr>
        <w:t>Modelo de usuario</w:t>
      </w:r>
    </w:p>
    <w:p>
      <w:pPr>
        <w:spacing w:after="160" w:line="283" w:lineRule="auto"/>
      </w:pPr>
      <w:r>
        <w:rPr>
          <w:rFonts w:ascii="Arial" w:hAnsi="Arial" w:eastAsia="Arial"/>
          <w:b w:val="0"/>
          <w:i w:val="0"/>
          <w:sz w:val="22"/>
        </w:rPr>
        <w:t>Ledyvas no implementa un sistema de cuentas, contraseñas ni permisos por rol: es una única sesión de trabajo por instalación. La barra superior ofrece un selector de "área de trabajo" (ventas / almacén / compras / excursiones) que es puramente una preferencia de visualización, no un control de acceso. Cualquier persona con acceso a la computadora tiene acceso completo a todos los módulos y datos.</w:t>
      </w:r>
    </w:p>
    <w:p>
      <w:pPr>
        <w:keepNext/>
        <w:spacing w:before="440" w:after="200"/>
        <w:pBdr>
          <w:bottom w:val="single" w:sz="8" w:space="4" w:color="C89B3C"/>
        </w:pBdr>
      </w:pPr>
      <w:r>
        <w:rPr>
          <w:rFonts w:ascii="Arial" w:hAnsi="Arial" w:eastAsia="Arial"/>
          <w:b/>
          <w:i w:val="0"/>
          <w:color w:val="0B1F3A"/>
          <w:sz w:val="36"/>
        </w:rPr>
        <w:t>2. Configuración</w:t>
      </w:r>
    </w:p>
    <w:p>
      <w:pPr>
        <w:spacing w:after="160" w:line="283" w:lineRule="auto"/>
      </w:pPr>
      <w:r>
        <w:rPr>
          <w:rFonts w:ascii="Arial" w:hAnsi="Arial" w:eastAsia="Arial"/>
          <w:b w:val="0"/>
          <w:i w:val="0"/>
          <w:sz w:val="22"/>
        </w:rPr>
        <w:t>El módulo Configuración es intencionalmente reducido: administra únicamente la moneda de trabajo y el árbol de categorías/subcategorías de producto.</w:t>
      </w:r>
    </w:p>
    <w:p>
      <w:pPr>
        <w:keepNext/>
        <w:spacing w:before="240" w:after="80"/>
      </w:pPr>
      <w:r>
        <w:rPr>
          <w:rFonts w:ascii="Arial" w:hAnsi="Arial" w:eastAsia="Arial"/>
          <w:b/>
          <w:i w:val="0"/>
          <w:color w:val="1E4FAF"/>
          <w:sz w:val="25"/>
        </w:rPr>
        <w:t>Moneda</w:t>
      </w:r>
    </w:p>
    <w:p>
      <w:pPr>
        <w:spacing w:after="160" w:line="283" w:lineRule="auto"/>
      </w:pPr>
      <w:r>
        <w:rPr>
          <w:rFonts w:ascii="Arial" w:hAnsi="Arial" w:eastAsia="Arial"/>
          <w:b w:val="0"/>
          <w:i w:val="0"/>
          <w:sz w:val="22"/>
        </w:rPr>
        <w:t>Es un valor único por instalación, almacenado en la tabla genérica de configuración (app_settings). Cambiarla no convierte montos ya cargados: solo cambia el símbolo/formato con el que se muestran los importes de ahí en adelante.</w:t>
      </w:r>
    </w:p>
    <w:p>
      <w:pPr>
        <w:keepNext/>
        <w:spacing w:before="240" w:after="80"/>
      </w:pPr>
      <w:r>
        <w:rPr>
          <w:rFonts w:ascii="Arial" w:hAnsi="Arial" w:eastAsia="Arial"/>
          <w:b/>
          <w:i w:val="0"/>
          <w:color w:val="1E4FAF"/>
          <w:sz w:val="25"/>
        </w:rPr>
        <w:t>Categorías y subcategorías</w:t>
      </w:r>
    </w:p>
    <w:p>
      <w:pPr>
        <w:spacing w:after="160" w:line="283" w:lineRule="auto"/>
      </w:pPr>
      <w:r>
        <w:rPr>
          <w:rFonts w:ascii="Arial" w:hAnsi="Arial" w:eastAsia="Arial"/>
          <w:b w:val="0"/>
          <w:i w:val="0"/>
          <w:sz w:val="22"/>
        </w:rPr>
        <w:t>Cada categoría de nivel superior puede tener subcategorías propias, y cada categoría puede marcarse individualmente como sujeta a Control Diario de inventario. Esta marca es la que determina qué categorías aparecen por defecto como candidatas al armar un Control Diario, aunque el usuario igual puede acotar manualmente qué productos concretos controlar ese día (ver módulo Inventario).</w:t>
      </w:r>
    </w:p>
    <w:p>
      <w:pPr>
        <w:keepNext/>
        <w:spacing w:before="240" w:after="80"/>
      </w:pPr>
      <w:r>
        <w:rPr>
          <w:rFonts w:ascii="Arial" w:hAnsi="Arial" w:eastAsia="Arial"/>
          <w:b/>
          <w:i w:val="0"/>
          <w:color w:val="1E4FAF"/>
          <w:sz w:val="25"/>
        </w:rPr>
        <w:t>Qué NO se configura acá</w:t>
      </w:r>
    </w:p>
    <w:p>
      <w:pPr>
        <w:spacing w:after="160" w:line="283" w:lineRule="auto"/>
      </w:pPr>
      <w:r>
        <w:rPr>
          <w:rFonts w:ascii="Arial" w:hAnsi="Arial" w:eastAsia="Arial"/>
          <w:b w:val="0"/>
          <w:i w:val="0"/>
          <w:sz w:val="22"/>
        </w:rPr>
        <w:t>No hay datos de empresa (razón social, logo, dirección fiscal) para completar, no hay gestión de usuarios ni permisos, y el idioma de la interfaz se cambia desde la barra superior, no desde este módulo.</w:t>
      </w:r>
    </w:p>
    <w:p>
      <w:pPr>
        <w:keepNext/>
        <w:spacing w:before="440" w:after="200"/>
        <w:pBdr>
          <w:bottom w:val="single" w:sz="8" w:space="4" w:color="C89B3C"/>
        </w:pBdr>
      </w:pPr>
      <w:r>
        <w:rPr>
          <w:rFonts w:ascii="Arial" w:hAnsi="Arial" w:eastAsia="Arial"/>
          <w:b/>
          <w:i w:val="0"/>
          <w:color w:val="0B1F3A"/>
          <w:sz w:val="36"/>
        </w:rPr>
        <w:t>3. Productos</w:t>
      </w:r>
    </w:p>
    <w:p>
      <w:pPr>
        <w:spacing w:after="160" w:line="283" w:lineRule="auto"/>
      </w:pPr>
      <w:r>
        <w:rPr>
          <w:rFonts w:ascii="Arial" w:hAnsi="Arial" w:eastAsia="Arial"/>
          <w:b w:val="0"/>
          <w:i w:val="0"/>
          <w:sz w:val="22"/>
        </w:rPr>
        <w:t>El catálogo de productos es la entidad central de la que dependen Compras, Almacén, Inventario, Ventas, Producción y Reportes.</w:t>
      </w:r>
    </w:p>
    <w:p>
      <w:pPr>
        <w:keepNext/>
        <w:spacing w:before="240" w:after="80"/>
      </w:pPr>
      <w:r>
        <w:rPr>
          <w:rFonts w:ascii="Arial" w:hAnsi="Arial" w:eastAsia="Arial"/>
          <w:b/>
          <w:i w:val="0"/>
          <w:color w:val="1E4FAF"/>
          <w:sz w:val="25"/>
        </w:rPr>
        <w:t>Categorización</w:t>
      </w:r>
    </w:p>
    <w:p>
      <w:pPr>
        <w:spacing w:after="160" w:line="283" w:lineRule="auto"/>
      </w:pPr>
      <w:r>
        <w:rPr>
          <w:rFonts w:ascii="Arial" w:hAnsi="Arial" w:eastAsia="Arial"/>
          <w:b w:val="0"/>
          <w:i w:val="0"/>
          <w:sz w:val="22"/>
        </w:rPr>
        <w:t>Cada producto pertenece a una categoría y, opcionalmente, a una subcategoría dentro de esa categoría. Esta estructura es la que después permite agrupar el reporte Consolidado por categoría o subcategoría.</w:t>
      </w:r>
    </w:p>
    <w:p>
      <w:pPr>
        <w:keepNext/>
        <w:spacing w:before="240" w:after="80"/>
      </w:pPr>
      <w:r>
        <w:rPr>
          <w:rFonts w:ascii="Arial" w:hAnsi="Arial" w:eastAsia="Arial"/>
          <w:b/>
          <w:i w:val="0"/>
          <w:color w:val="1E4FAF"/>
          <w:sz w:val="25"/>
        </w:rPr>
        <w:t>Código de barras</w:t>
      </w:r>
    </w:p>
    <w:p>
      <w:pPr>
        <w:spacing w:after="160" w:line="283" w:lineRule="auto"/>
      </w:pPr>
      <w:r>
        <w:rPr>
          <w:rFonts w:ascii="Arial" w:hAnsi="Arial" w:eastAsia="Arial"/>
          <w:b w:val="0"/>
          <w:i w:val="0"/>
          <w:sz w:val="22"/>
        </w:rPr>
        <w:t>El campo barcode es único e indexado. Un lector de código de barras conectado por USB funciona como teclado: al escanear, el texto se ingresa y confirma automáticamente (patrón de "captura + Enter"), sin necesidad de hardware especial ni configuración adicional. El mismo patrón de escaneo se reutiliza en Ventas, Almacén e Inventario para localizar o agregar un producto rápidamente.</w:t>
      </w:r>
    </w:p>
    <w:p>
      <w:pPr>
        <w:keepNext/>
        <w:spacing w:before="240" w:after="80"/>
      </w:pPr>
      <w:r>
        <w:rPr>
          <w:rFonts w:ascii="Arial" w:hAnsi="Arial" w:eastAsia="Arial"/>
          <w:b/>
          <w:i w:val="0"/>
          <w:color w:val="1E4FAF"/>
          <w:sz w:val="25"/>
        </w:rPr>
        <w:t>Eliminación vs. desactivación</w:t>
      </w:r>
    </w:p>
    <w:p>
      <w:pPr>
        <w:spacing w:after="160" w:line="283" w:lineRule="auto"/>
      </w:pPr>
      <w:r>
        <w:rPr>
          <w:rFonts w:ascii="Arial" w:hAnsi="Arial" w:eastAsia="Arial"/>
          <w:b w:val="0"/>
          <w:i w:val="0"/>
          <w:sz w:val="22"/>
        </w:rPr>
        <w:t>Al intentar eliminar un producto, Ledyvas primero verifica si tiene movimientos asociados (compras, ventas, recetas, control de stock). Si no tiene ninguno, se elimina permanentemente. Si ya tiene historial, el producto se desactiva en su lugar —deja de aparecer como opción para nuevas operaciones, pero todo el historial que lo referencia permanece intacto y consultable.</w:t>
      </w:r>
    </w:p>
    <w:p>
      <w:pPr>
        <w:keepNext/>
        <w:spacing w:before="240" w:after="80"/>
      </w:pPr>
      <w:r>
        <w:rPr>
          <w:rFonts w:ascii="Arial" w:hAnsi="Arial" w:eastAsia="Arial"/>
          <w:b/>
          <w:i w:val="0"/>
          <w:color w:val="1E4FAF"/>
          <w:sz w:val="25"/>
        </w:rPr>
        <w:t>Vínculo con proveedor</w:t>
      </w:r>
    </w:p>
    <w:p>
      <w:pPr>
        <w:spacing w:after="160" w:line="283" w:lineRule="auto"/>
      </w:pPr>
      <w:r>
        <w:rPr>
          <w:rFonts w:ascii="Arial" w:hAnsi="Arial" w:eastAsia="Arial"/>
          <w:b w:val="0"/>
          <w:i w:val="0"/>
          <w:sz w:val="22"/>
        </w:rPr>
        <w:t>Un producto puede tener un proveedor preferido asociado. Si ese proveedor se elimina, el producto no se borra: el vínculo simplemente queda vacío (ON DELETE SET NULL a nivel de base de datos), y puede reasignarse a otro proveedor en cualquier momento.</w:t>
      </w:r>
    </w:p>
    <w:p>
      <w:pPr>
        <w:keepNext/>
        <w:spacing w:before="440" w:after="200"/>
        <w:pBdr>
          <w:bottom w:val="single" w:sz="8" w:space="4" w:color="C89B3C"/>
        </w:pBdr>
      </w:pPr>
      <w:r>
        <w:rPr>
          <w:rFonts w:ascii="Arial" w:hAnsi="Arial" w:eastAsia="Arial"/>
          <w:b/>
          <w:i w:val="0"/>
          <w:color w:val="0B1F3A"/>
          <w:sz w:val="36"/>
        </w:rPr>
        <w:t>4. Compras</w:t>
      </w:r>
    </w:p>
    <w:p>
      <w:pPr>
        <w:spacing w:after="160" w:line="283" w:lineRule="auto"/>
      </w:pPr>
      <w:r>
        <w:rPr>
          <w:rFonts w:ascii="Arial" w:hAnsi="Arial" w:eastAsia="Arial"/>
          <w:b w:val="0"/>
          <w:i w:val="0"/>
          <w:sz w:val="22"/>
        </w:rPr>
        <w:t>Registra la adquisición de mercadería a un proveedor y actualiza el stock del almacén central al confirmarse.</w:t>
      </w:r>
    </w:p>
    <w:p>
      <w:pPr>
        <w:keepNext/>
        <w:spacing w:before="240" w:after="80"/>
      </w:pPr>
      <w:r>
        <w:rPr>
          <w:rFonts w:ascii="Arial" w:hAnsi="Arial" w:eastAsia="Arial"/>
          <w:b/>
          <w:i w:val="0"/>
          <w:color w:val="1E4FAF"/>
          <w:sz w:val="25"/>
        </w:rPr>
        <w:t>Relación con Proveedores</w:t>
      </w:r>
    </w:p>
    <w:p>
      <w:pPr>
        <w:spacing w:after="160" w:line="283" w:lineRule="auto"/>
      </w:pPr>
      <w:r>
        <w:rPr>
          <w:rFonts w:ascii="Arial" w:hAnsi="Arial" w:eastAsia="Arial"/>
          <w:b w:val="0"/>
          <w:i w:val="0"/>
          <w:sz w:val="22"/>
        </w:rPr>
        <w:t>Una compra pertenece a un único proveedor. Al eliminar un proveedor, sus compras asociadas se eliminan en cascada (junto con sus líneas de compra), pero —como se explicó en Productos— los productos que se le compraban a ese proveedor no se ven afectados.</w:t>
      </w:r>
    </w:p>
    <w:p>
      <w:pPr>
        <w:keepNext/>
        <w:spacing w:before="240" w:after="80"/>
      </w:pPr>
      <w:r>
        <w:rPr>
          <w:rFonts w:ascii="Arial" w:hAnsi="Arial" w:eastAsia="Arial"/>
          <w:b/>
          <w:i w:val="0"/>
          <w:color w:val="1E4FAF"/>
          <w:sz w:val="25"/>
        </w:rPr>
        <w:t>Conversión de unidades para combustible</w:t>
      </w:r>
    </w:p>
    <w:p>
      <w:pPr>
        <w:spacing w:after="160" w:line="283" w:lineRule="auto"/>
      </w:pPr>
      <w:r>
        <w:rPr>
          <w:rFonts w:ascii="Arial" w:hAnsi="Arial" w:eastAsia="Arial"/>
          <w:b w:val="0"/>
          <w:i w:val="0"/>
          <w:sz w:val="22"/>
        </w:rPr>
        <w:t>Cuando el producto es combustible y la unidad de carga difiere de la unidad de control de stock (por ejemplo, se compra por galones pero el almacén controla en litros), Ledyvas calcula y muestra la conversión (1 galón = 3.78541 litros) en tiempo real mientras se completa la cantidad, para evitar errores manuales de conversión.</w:t>
      </w:r>
    </w:p>
    <w:p>
      <w:pPr>
        <w:keepNext/>
        <w:spacing w:before="240" w:after="80"/>
      </w:pPr>
      <w:r>
        <w:rPr>
          <w:rFonts w:ascii="Arial" w:hAnsi="Arial" w:eastAsia="Arial"/>
          <w:b/>
          <w:i w:val="0"/>
          <w:color w:val="1E4FAF"/>
          <w:sz w:val="25"/>
        </w:rPr>
        <w:t>Exportación</w:t>
      </w:r>
    </w:p>
    <w:p>
      <w:pPr>
        <w:spacing w:after="160" w:line="283" w:lineRule="auto"/>
      </w:pPr>
      <w:r>
        <w:rPr>
          <w:rFonts w:ascii="Arial" w:hAnsi="Arial" w:eastAsia="Arial"/>
          <w:b w:val="0"/>
          <w:i w:val="0"/>
          <w:sz w:val="22"/>
        </w:rPr>
        <w:t>El historial de compras puede exportarse a Excel completo, con las mismas columnas que se ven en pantalla.</w:t>
      </w:r>
    </w:p>
    <w:p>
      <w:pPr>
        <w:keepNext/>
        <w:spacing w:before="440" w:after="200"/>
        <w:pBdr>
          <w:bottom w:val="single" w:sz="8" w:space="4" w:color="C89B3C"/>
        </w:pBdr>
      </w:pPr>
      <w:r>
        <w:rPr>
          <w:rFonts w:ascii="Arial" w:hAnsi="Arial" w:eastAsia="Arial"/>
          <w:b/>
          <w:i w:val="0"/>
          <w:color w:val="0B1F3A"/>
          <w:sz w:val="36"/>
        </w:rPr>
        <w:t>5. Almacén</w:t>
      </w:r>
    </w:p>
    <w:p>
      <w:pPr>
        <w:spacing w:after="160" w:line="283" w:lineRule="auto"/>
      </w:pPr>
      <w:r>
        <w:rPr>
          <w:rFonts w:ascii="Arial" w:hAnsi="Arial" w:eastAsia="Arial"/>
          <w:b w:val="0"/>
          <w:i w:val="0"/>
          <w:sz w:val="22"/>
        </w:rPr>
        <w:t>Representa el stock del depósito central: cantidad actual y valor total por producto, más el historial de movimientos que explican cómo se llegó a ese número (compras, ventas, producción, traslados, devoluciones, ajustes de inventario).</w:t>
      </w:r>
    </w:p>
    <w:p>
      <w:pPr>
        <w:spacing w:after="160" w:line="283" w:lineRule="auto"/>
      </w:pPr>
      <w:r>
        <w:rPr>
          <w:rFonts w:ascii="Arial" w:hAnsi="Arial" w:eastAsia="Arial"/>
          <w:b w:val="0"/>
          <w:i w:val="0"/>
          <w:sz w:val="22"/>
        </w:rPr>
        <w:t>Es un solo almacén lógico: Ledyvas no modela múltiples depósitos o sucursales dentro de esta versión. La distribución de stock hacia terceros se maneja mediante Distribuciones (traslados a revendedores), no mediante almacenes adicionales.</w:t>
      </w:r>
    </w:p>
    <w:p>
      <w:pPr>
        <w:keepNext/>
        <w:spacing w:before="440" w:after="200"/>
        <w:pBdr>
          <w:bottom w:val="single" w:sz="8" w:space="4" w:color="C89B3C"/>
        </w:pBdr>
      </w:pPr>
      <w:r>
        <w:rPr>
          <w:rFonts w:ascii="Arial" w:hAnsi="Arial" w:eastAsia="Arial"/>
          <w:b/>
          <w:i w:val="0"/>
          <w:color w:val="0B1F3A"/>
          <w:sz w:val="36"/>
        </w:rPr>
        <w:t>6. Inventario</w:t>
      </w:r>
    </w:p>
    <w:p>
      <w:pPr>
        <w:spacing w:after="160" w:line="283" w:lineRule="auto"/>
      </w:pPr>
      <w:r>
        <w:rPr>
          <w:rFonts w:ascii="Arial" w:hAnsi="Arial" w:eastAsia="Arial"/>
          <w:b w:val="0"/>
          <w:i w:val="0"/>
          <w:sz w:val="22"/>
        </w:rPr>
        <w:t>El Control Diario de Inventario es el mecanismo de conteo físico: compara el stock que el sistema cree tener contra lo que realmente hay, para detectar diferencias.</w:t>
      </w:r>
    </w:p>
    <w:p>
      <w:pPr>
        <w:keepNext/>
        <w:spacing w:before="240" w:after="80"/>
      </w:pPr>
      <w:r>
        <w:rPr>
          <w:rFonts w:ascii="Arial" w:hAnsi="Arial" w:eastAsia="Arial"/>
          <w:b/>
          <w:i w:val="0"/>
          <w:color w:val="1E4FAF"/>
          <w:sz w:val="25"/>
        </w:rPr>
        <w:t>Selección de alcance</w:t>
      </w:r>
    </w:p>
    <w:p>
      <w:pPr>
        <w:spacing w:after="160" w:line="283" w:lineRule="auto"/>
      </w:pPr>
      <w:r>
        <w:rPr>
          <w:rFonts w:ascii="Arial" w:hAnsi="Arial" w:eastAsia="Arial"/>
          <w:b w:val="0"/>
          <w:i w:val="0"/>
          <w:sz w:val="22"/>
        </w:rPr>
        <w:t>A diferencia de una versión anterior que traía automáticamente todos los productos de las categorías marcadas como "controladas", el Control Diario actual deja que el usuario elija manualmente, cada vez que entra, qué categorías y/o productos puntuales quiere revisar ese día. Esta selección no se guarda entre sesiones: es una elección de alcance momentánea, pensada para negocios donde no siempre se cuenta todo el catálogo en el mismo día.</w:t>
      </w:r>
    </w:p>
    <w:p>
      <w:pPr>
        <w:keepNext/>
        <w:spacing w:before="240" w:after="80"/>
      </w:pPr>
      <w:r>
        <w:rPr>
          <w:rFonts w:ascii="Arial" w:hAnsi="Arial" w:eastAsia="Arial"/>
          <w:b/>
          <w:i w:val="0"/>
          <w:color w:val="1E4FAF"/>
          <w:sz w:val="25"/>
        </w:rPr>
        <w:t>Escaneo</w:t>
      </w:r>
    </w:p>
    <w:p>
      <w:pPr>
        <w:spacing w:after="160" w:line="283" w:lineRule="auto"/>
      </w:pPr>
      <w:r>
        <w:rPr>
          <w:rFonts w:ascii="Arial" w:hAnsi="Arial" w:eastAsia="Arial"/>
          <w:b w:val="0"/>
          <w:i w:val="0"/>
          <w:sz w:val="22"/>
        </w:rPr>
        <w:t>El mismo patrón de código de barras de Productos está disponible acá para ubicar rápidamente un producto durante el conteo, sin tener que buscarlo en una lista larga.</w:t>
      </w:r>
    </w:p>
    <w:p>
      <w:pPr>
        <w:keepNext/>
        <w:spacing w:before="440" w:after="200"/>
        <w:pBdr>
          <w:bottom w:val="single" w:sz="8" w:space="4" w:color="C89B3C"/>
        </w:pBdr>
      </w:pPr>
      <w:r>
        <w:rPr>
          <w:rFonts w:ascii="Arial" w:hAnsi="Arial" w:eastAsia="Arial"/>
          <w:b/>
          <w:i w:val="0"/>
          <w:color w:val="0B1F3A"/>
          <w:sz w:val="36"/>
        </w:rPr>
        <w:t>7. Distribuciones</w:t>
      </w:r>
    </w:p>
    <w:p>
      <w:pPr>
        <w:spacing w:after="160" w:line="283" w:lineRule="auto"/>
      </w:pPr>
      <w:r>
        <w:rPr>
          <w:rFonts w:ascii="Arial" w:hAnsi="Arial" w:eastAsia="Arial"/>
          <w:b w:val="0"/>
          <w:i w:val="0"/>
          <w:sz w:val="22"/>
        </w:rPr>
        <w:t>Cubre el movimiento de stock hacia clientes marcados como "revendedor" (is_reseller = 1) y su reventa posterior a un comprador externo, sin que ninguna de esas dos etapas se registre como una venta directa de Ledyvas.</w:t>
      </w:r>
    </w:p>
    <w:p>
      <w:pPr>
        <w:keepNext/>
        <w:spacing w:before="240" w:after="80"/>
      </w:pPr>
      <w:r>
        <w:rPr>
          <w:rFonts w:ascii="Arial" w:hAnsi="Arial" w:eastAsia="Arial"/>
          <w:b/>
          <w:i w:val="0"/>
          <w:color w:val="1E4FAF"/>
          <w:sz w:val="25"/>
        </w:rPr>
        <w:t>Traslados (Transfers)</w:t>
      </w:r>
    </w:p>
    <w:p>
      <w:pPr>
        <w:spacing w:after="160" w:line="283" w:lineRule="auto"/>
      </w:pPr>
      <w:r>
        <w:rPr>
          <w:rFonts w:ascii="Arial" w:hAnsi="Arial" w:eastAsia="Arial"/>
          <w:b w:val="0"/>
          <w:i w:val="0"/>
          <w:sz w:val="22"/>
        </w:rPr>
        <w:t>Un traslado mueve stock desde el almacén central hacia el saldo de un revendedor específico (reseller_stock, por cliente y producto). Disminuye products.current_stock, aumenta el reseller_stock correspondiente, y registra un movimiento de tipo transfer, numerado correlativamente (TRF-AAAA-0001). Es importante notar que un traslado NO genera una venta ficticia: no impacta los totales de Ventas ni de Business Intelligence, porque el producto todavía no fue vendido a un tercero, solo cambió de custodia.</w:t>
      </w:r>
    </w:p>
    <w:p>
      <w:pPr>
        <w:keepNext/>
        <w:spacing w:before="240" w:after="80"/>
      </w:pPr>
      <w:r>
        <w:rPr>
          <w:rFonts w:ascii="Arial" w:hAnsi="Arial" w:eastAsia="Arial"/>
          <w:b/>
          <w:i w:val="0"/>
          <w:color w:val="1E4FAF"/>
          <w:sz w:val="25"/>
        </w:rPr>
        <w:t>Devoluciones de traslado (Transfer Returns)</w:t>
      </w:r>
    </w:p>
    <w:p>
      <w:pPr>
        <w:spacing w:after="160" w:line="283" w:lineRule="auto"/>
      </w:pPr>
      <w:r>
        <w:rPr>
          <w:rFonts w:ascii="Arial" w:hAnsi="Arial" w:eastAsia="Arial"/>
          <w:b w:val="0"/>
          <w:i w:val="0"/>
          <w:sz w:val="22"/>
        </w:rPr>
        <w:t>Es la operación inversa exacta: el revendedor devuelve stock que no llegó a vender. Disminuye el reseller_stock de ese cliente y aumenta nuevamente el stock del almacén central. El sistema valida que la cantidad devuelta no supere lo que ese revendedor realmente tiene registrado, para evitar devoluciones inconsistentes. Se numera correlativamente (RES-AAAA-0001).</w:t>
      </w:r>
    </w:p>
    <w:p>
      <w:pPr>
        <w:keepNext/>
        <w:spacing w:before="240" w:after="80"/>
      </w:pPr>
      <w:r>
        <w:rPr>
          <w:rFonts w:ascii="Arial" w:hAnsi="Arial" w:eastAsia="Arial"/>
          <w:b/>
          <w:i w:val="0"/>
          <w:color w:val="1E4FAF"/>
          <w:sz w:val="25"/>
        </w:rPr>
        <w:t>Reventas (Resales)</w:t>
      </w:r>
    </w:p>
    <w:p>
      <w:pPr>
        <w:spacing w:after="160" w:line="283" w:lineRule="auto"/>
      </w:pPr>
      <w:r>
        <w:rPr>
          <w:rFonts w:ascii="Arial" w:hAnsi="Arial" w:eastAsia="Arial"/>
          <w:b w:val="0"/>
          <w:i w:val="0"/>
          <w:sz w:val="22"/>
        </w:rPr>
        <w:t>Cuando el revendedor efectivamente vende ese stock a un comprador externo (que no necesita ser un cliente registrado en Ledyvas: el comprador se identifica con un nombre libre), se registra la reventa. Esta operación descuenta del reseller_stock del cliente/producto correspondiente, calcula costo, precio de venta y ganancia por línea y por reventa completa, y queda numerada (REV-AAAA-0001).</w:t>
      </w:r>
    </w:p>
    <w:p>
      <w:pPr>
        <w:keepNext/>
        <w:spacing w:before="440" w:after="200"/>
        <w:pBdr>
          <w:bottom w:val="single" w:sz="8" w:space="4" w:color="C89B3C"/>
        </w:pBdr>
      </w:pPr>
      <w:r>
        <w:rPr>
          <w:rFonts w:ascii="Arial" w:hAnsi="Arial" w:eastAsia="Arial"/>
          <w:b/>
          <w:i w:val="0"/>
          <w:color w:val="0B1F3A"/>
          <w:sz w:val="36"/>
        </w:rPr>
        <w:t>8. Fórmulas</w:t>
      </w:r>
    </w:p>
    <w:p>
      <w:pPr>
        <w:spacing w:after="160" w:line="283" w:lineRule="auto"/>
      </w:pPr>
      <w:r>
        <w:rPr>
          <w:rFonts w:ascii="Arial" w:hAnsi="Arial" w:eastAsia="Arial"/>
          <w:b w:val="0"/>
          <w:i w:val="0"/>
          <w:sz w:val="22"/>
        </w:rPr>
        <w:t>"Fórmulas" es un término que en Ledyvas cubre dos conceptos distintos, que conviene no confundir:</w:t>
      </w:r>
    </w:p>
    <w:p>
      <w:pPr>
        <w:keepNext/>
        <w:spacing w:before="240" w:after="80"/>
      </w:pPr>
      <w:r>
        <w:rPr>
          <w:rFonts w:ascii="Arial" w:hAnsi="Arial" w:eastAsia="Arial"/>
          <w:b/>
          <w:i w:val="0"/>
          <w:color w:val="1E4FAF"/>
          <w:sz w:val="25"/>
        </w:rPr>
        <w:t>Recetas (para Producción)</w:t>
      </w:r>
    </w:p>
    <w:p>
      <w:pPr>
        <w:spacing w:after="160" w:line="283" w:lineRule="auto"/>
      </w:pPr>
      <w:r>
        <w:rPr>
          <w:rFonts w:ascii="Arial" w:hAnsi="Arial" w:eastAsia="Arial"/>
          <w:b w:val="0"/>
          <w:i w:val="0"/>
          <w:sz w:val="22"/>
        </w:rPr>
        <w:t>Una receta define qué ingredientes —y en qué cantidad de cada uno— se necesitan para producir una unidad de un producto terminado. Al producirse, cada ingrediente se descuenta del stock (con conversión de unidades automática cuando la unidad de la receta difiere de la unidad de stock del ingrediente) y el producto terminado incrementa su propio stock. Las recetas se pueden exportar a Excel.</w:t>
      </w:r>
    </w:p>
    <w:p>
      <w:pPr>
        <w:keepNext/>
        <w:spacing w:before="240" w:after="80"/>
      </w:pPr>
      <w:r>
        <w:rPr>
          <w:rFonts w:ascii="Arial" w:hAnsi="Arial" w:eastAsia="Arial"/>
          <w:b/>
          <w:i w:val="0"/>
          <w:color w:val="1E4FAF"/>
          <w:sz w:val="25"/>
        </w:rPr>
        <w:t>Fórmulas de venta (para Ventas)</w:t>
      </w:r>
    </w:p>
    <w:p>
      <w:pPr>
        <w:spacing w:after="160" w:line="283" w:lineRule="auto"/>
      </w:pPr>
      <w:r>
        <w:rPr>
          <w:rFonts w:ascii="Arial" w:hAnsi="Arial" w:eastAsia="Arial"/>
          <w:b w:val="0"/>
          <w:i w:val="0"/>
          <w:sz w:val="22"/>
        </w:rPr>
        <w:t>Una fórmula de venta no produce nada: define cuánta cantidad de un producto corresponde por persona/comensal, para un cliente o un destino operativo determinado (lineal, o escalonada por rangos de cantidad de personas). Se usa exclusivamente como ayuda de carga rápida al registrar una Venta: el usuario ingresa la cantidad de comensales y Ledyvas completa automáticamente las líneas de venta correspondientes, que luego pueden ajustarse manualmente antes de confirmar.</w:t>
      </w:r>
    </w:p>
    <w:p>
      <w:pPr>
        <w:keepNext/>
        <w:spacing w:before="440" w:after="200"/>
        <w:pBdr>
          <w:bottom w:val="single" w:sz="8" w:space="4" w:color="C89B3C"/>
        </w:pBdr>
      </w:pPr>
      <w:r>
        <w:rPr>
          <w:rFonts w:ascii="Arial" w:hAnsi="Arial" w:eastAsia="Arial"/>
          <w:b/>
          <w:i w:val="0"/>
          <w:color w:val="0B1F3A"/>
          <w:sz w:val="36"/>
        </w:rPr>
        <w:t>9. Producción</w:t>
      </w:r>
    </w:p>
    <w:p>
      <w:pPr>
        <w:spacing w:after="160" w:line="283" w:lineRule="auto"/>
      </w:pPr>
      <w:r>
        <w:rPr>
          <w:rFonts w:ascii="Arial" w:hAnsi="Arial" w:eastAsia="Arial"/>
          <w:b w:val="0"/>
          <w:i w:val="0"/>
          <w:sz w:val="22"/>
        </w:rPr>
        <w:t>Ejecuta una receta: dado un producto con receta definida y una cantidad a producir, descuenta el stock de cada ingrediente según la proporción de la receta (con la conversión de unidades correspondiente) y aumenta el stock del producto terminado. Cada producción queda registrada como movimiento de stock, trazable desde el historial del Almacén.</w:t>
      </w:r>
    </w:p>
    <w:p>
      <w:pPr>
        <w:keepNext/>
        <w:spacing w:before="440" w:after="200"/>
        <w:pBdr>
          <w:bottom w:val="single" w:sz="8" w:space="4" w:color="C89B3C"/>
        </w:pBdr>
      </w:pPr>
      <w:r>
        <w:rPr>
          <w:rFonts w:ascii="Arial" w:hAnsi="Arial" w:eastAsia="Arial"/>
          <w:b/>
          <w:i w:val="0"/>
          <w:color w:val="0B1F3A"/>
          <w:sz w:val="36"/>
        </w:rPr>
        <w:t>10. Ventas</w:t>
      </w:r>
    </w:p>
    <w:p>
      <w:pPr>
        <w:spacing w:after="160" w:line="283" w:lineRule="auto"/>
      </w:pPr>
      <w:r>
        <w:rPr>
          <w:rFonts w:ascii="Arial" w:hAnsi="Arial" w:eastAsia="Arial"/>
          <w:b w:val="0"/>
          <w:i w:val="0"/>
          <w:sz w:val="22"/>
        </w:rPr>
        <w:t>El flujo real de venta de Ledyvas está en el módulo Ventas. (Existe además una pantalla de Punto de Venta de estilo caja registradora en el código base, pero no está conectada al menú de navegación ni tiene lógica funcional: no debe considerarse ni ofrecerse como una función disponible en esta versión.)</w:t>
      </w:r>
    </w:p>
    <w:p>
      <w:pPr>
        <w:keepNext/>
        <w:spacing w:before="240" w:after="80"/>
      </w:pPr>
      <w:r>
        <w:rPr>
          <w:rFonts w:ascii="Arial" w:hAnsi="Arial" w:eastAsia="Arial"/>
          <w:b/>
          <w:i w:val="0"/>
          <w:color w:val="1E4FAF"/>
          <w:sz w:val="25"/>
        </w:rPr>
        <w:t>Registro de una venta</w:t>
      </w:r>
    </w:p>
    <w:p>
      <w:pPr>
        <w:spacing w:after="160" w:line="283" w:lineRule="auto"/>
      </w:pPr>
      <w:r>
        <w:rPr>
          <w:rFonts w:ascii="Arial" w:hAnsi="Arial" w:eastAsia="Arial"/>
          <w:b w:val="0"/>
          <w:i w:val="0"/>
          <w:sz w:val="22"/>
        </w:rPr>
        <w:t>Una venta asocia productos y cantidades a, opcionalmente, un cliente y un destino/despacho operativo. Puede completarse escaneando el código de barras de cada producto (que agrega o incrementa la línea correspondiente) o usando una fórmula de venta para autocompletar las líneas según cantidad de comensales, como se explicó en Fórmulas.</w:t>
      </w:r>
    </w:p>
    <w:p>
      <w:pPr>
        <w:keepNext/>
        <w:spacing w:before="240" w:after="80"/>
      </w:pPr>
      <w:r>
        <w:rPr>
          <w:rFonts w:ascii="Arial" w:hAnsi="Arial" w:eastAsia="Arial"/>
          <w:b/>
          <w:i w:val="0"/>
          <w:color w:val="1E4FAF"/>
          <w:sz w:val="25"/>
        </w:rPr>
        <w:t>Impacto en stock y reportes</w:t>
      </w:r>
    </w:p>
    <w:p>
      <w:pPr>
        <w:spacing w:after="160" w:line="283" w:lineRule="auto"/>
      </w:pPr>
      <w:r>
        <w:rPr>
          <w:rFonts w:ascii="Arial" w:hAnsi="Arial" w:eastAsia="Arial"/>
          <w:b w:val="0"/>
          <w:i w:val="0"/>
          <w:sz w:val="22"/>
        </w:rPr>
        <w:t>Una venta confirmada descuenta stock del almacén central y alimenta tanto los Reportes/Consolidado como Business Intelligence. Es la única operación de este tipo (a diferencia de Traslados, que no se consideran venta).</w:t>
      </w:r>
    </w:p>
    <w:p>
      <w:pPr>
        <w:keepNext/>
        <w:spacing w:before="440" w:after="200"/>
        <w:pBdr>
          <w:bottom w:val="single" w:sz="8" w:space="4" w:color="C89B3C"/>
        </w:pBdr>
      </w:pPr>
      <w:r>
        <w:rPr>
          <w:rFonts w:ascii="Arial" w:hAnsi="Arial" w:eastAsia="Arial"/>
          <w:b/>
          <w:i w:val="0"/>
          <w:color w:val="0B1F3A"/>
          <w:sz w:val="36"/>
        </w:rPr>
        <w:t>11. Combustibles</w:t>
      </w:r>
    </w:p>
    <w:p>
      <w:pPr>
        <w:spacing w:after="160" w:line="283" w:lineRule="auto"/>
      </w:pPr>
      <w:r>
        <w:rPr>
          <w:rFonts w:ascii="Arial" w:hAnsi="Arial" w:eastAsia="Arial"/>
          <w:b w:val="0"/>
          <w:i w:val="0"/>
          <w:sz w:val="22"/>
        </w:rPr>
        <w:t>El combustible no es un módulo separado en la base de datos: es una categoría de producto más, sujeta a las mismas reglas de Compras, Almacén y Ventas que cualquier otro producto. La única lógica especial es la conversión automática entre galones y litros (factor 3.78541) cuando la unidad de carga de una operación no coincide con la unidad de control de stock configurada para ese producto, para evitar que el usuario tenga que calcular la conversión manualmente.</w:t>
      </w:r>
    </w:p>
    <w:p>
      <w:pPr>
        <w:keepNext/>
        <w:spacing w:before="440" w:after="200"/>
        <w:pBdr>
          <w:bottom w:val="single" w:sz="8" w:space="4" w:color="C89B3C"/>
        </w:pBdr>
      </w:pPr>
      <w:r>
        <w:rPr>
          <w:rFonts w:ascii="Arial" w:hAnsi="Arial" w:eastAsia="Arial"/>
          <w:b/>
          <w:i w:val="0"/>
          <w:color w:val="0B1F3A"/>
          <w:sz w:val="36"/>
        </w:rPr>
        <w:t>12. Flota</w:t>
      </w:r>
    </w:p>
    <w:p>
      <w:pPr>
        <w:spacing w:after="160" w:line="283" w:lineRule="auto"/>
      </w:pPr>
      <w:r>
        <w:rPr>
          <w:rFonts w:ascii="Arial" w:hAnsi="Arial" w:eastAsia="Arial"/>
          <w:b w:val="0"/>
          <w:i w:val="0"/>
          <w:sz w:val="22"/>
        </w:rPr>
        <w:t>El módulo Flota (Medios, EquipmentService) administra vehículos y equipos operativos: nombre, tipo y estado activo/inactivo.</w:t>
      </w:r>
    </w:p>
    <w:p>
      <w:pPr>
        <w:keepNext/>
        <w:spacing w:before="240" w:after="80"/>
      </w:pPr>
      <w:r>
        <w:rPr>
          <w:rFonts w:ascii="Arial" w:hAnsi="Arial" w:eastAsia="Arial"/>
          <w:b/>
          <w:i w:val="0"/>
          <w:color w:val="1E4FAF"/>
          <w:sz w:val="25"/>
        </w:rPr>
        <w:t>Eliminación vs. desactivación</w:t>
      </w:r>
    </w:p>
    <w:p>
      <w:pPr>
        <w:spacing w:after="160" w:line="283" w:lineRule="auto"/>
      </w:pPr>
      <w:r>
        <w:rPr>
          <w:rFonts w:ascii="Arial" w:hAnsi="Arial" w:eastAsia="Arial"/>
          <w:b w:val="0"/>
          <w:i w:val="0"/>
          <w:sz w:val="22"/>
        </w:rPr>
        <w:t>Igual que con Productos, al intentar eliminar un equipo Ledyvas verifica primero si tiene uso registrado en despachos (dispatch_records) o líneas de venta (sale_items). Si el conteo es cero, se elimina permanentemente y la operación informa deleted: true. Si ya tiene uso registrado, se desactiva en lugar de eliminarse (deleted: false), preservando la integridad del historial que lo referencia. La interfaz informa al usuario cuál de los dos resultados ocurrió realmente, en vez de asumir que "eliminar" siempre borra.</w:t>
      </w:r>
    </w:p>
    <w:p>
      <w:pPr>
        <w:keepNext/>
        <w:spacing w:before="440" w:after="200"/>
        <w:pBdr>
          <w:bottom w:val="single" w:sz="8" w:space="4" w:color="C89B3C"/>
        </w:pBdr>
      </w:pPr>
      <w:r>
        <w:rPr>
          <w:rFonts w:ascii="Arial" w:hAnsi="Arial" w:eastAsia="Arial"/>
          <w:b/>
          <w:i w:val="0"/>
          <w:color w:val="0B1F3A"/>
          <w:sz w:val="36"/>
        </w:rPr>
        <w:t>13. Reportes</w:t>
      </w:r>
    </w:p>
    <w:p>
      <w:pPr>
        <w:spacing w:after="160" w:line="283" w:lineRule="auto"/>
      </w:pPr>
      <w:r>
        <w:rPr>
          <w:rFonts w:ascii="Arial" w:hAnsi="Arial" w:eastAsia="Arial"/>
          <w:b w:val="0"/>
          <w:i w:val="0"/>
          <w:sz w:val="22"/>
        </w:rPr>
        <w:t>Ledyvas separa la información operativa en tres vistas complementarias, cada una con un propósito distinto:</w:t>
      </w:r>
    </w:p>
    <w:p>
      <w:pPr>
        <w:keepNext/>
        <w:spacing w:before="240" w:after="80"/>
      </w:pPr>
      <w:r>
        <w:rPr>
          <w:rFonts w:ascii="Arial" w:hAnsi="Arial" w:eastAsia="Arial"/>
          <w:b/>
          <w:i w:val="0"/>
          <w:color w:val="1E4FAF"/>
          <w:sz w:val="25"/>
        </w:rPr>
        <w:t>Reportes</w:t>
      </w:r>
    </w:p>
    <w:p>
      <w:pPr>
        <w:spacing w:after="160" w:line="283" w:lineRule="auto"/>
      </w:pPr>
      <w:r>
        <w:rPr>
          <w:rFonts w:ascii="Arial" w:hAnsi="Arial" w:eastAsia="Arial"/>
          <w:b w:val="0"/>
          <w:i w:val="0"/>
          <w:sz w:val="22"/>
        </w:rPr>
        <w:t>Indicadores operativos del día a día: productos con stock bajo, valor de inventario, y similares — pensado para consulta rápida, no para análisis histórico.</w:t>
      </w:r>
    </w:p>
    <w:p>
      <w:pPr>
        <w:keepNext/>
        <w:spacing w:before="240" w:after="80"/>
      </w:pPr>
      <w:r>
        <w:rPr>
          <w:rFonts w:ascii="Arial" w:hAnsi="Arial" w:eastAsia="Arial"/>
          <w:b/>
          <w:i w:val="0"/>
          <w:color w:val="1E4FAF"/>
          <w:sz w:val="25"/>
        </w:rPr>
        <w:t>Consolidado</w:t>
      </w:r>
    </w:p>
    <w:p>
      <w:pPr>
        <w:spacing w:after="160" w:line="283" w:lineRule="auto"/>
      </w:pPr>
      <w:r>
        <w:rPr>
          <w:rFonts w:ascii="Arial" w:hAnsi="Arial" w:eastAsia="Arial"/>
          <w:b w:val="0"/>
          <w:i w:val="0"/>
          <w:sz w:val="22"/>
        </w:rPr>
        <w:t>Ventas y compras agrupadas por período (día, semana, mes, según se elija), con la posibilidad adicional de agrupar por categoría, subcategoría, equipo o destino operativo. Incluye un gráfico de barras y un listado del top 5 de esa agrupación con su porcentaje sobre el total del período.</w:t>
      </w:r>
    </w:p>
    <w:p>
      <w:pPr>
        <w:keepNext/>
        <w:spacing w:before="240" w:after="80"/>
      </w:pPr>
      <w:r>
        <w:rPr>
          <w:rFonts w:ascii="Arial" w:hAnsi="Arial" w:eastAsia="Arial"/>
          <w:b/>
          <w:i w:val="0"/>
          <w:color w:val="1E4FAF"/>
          <w:sz w:val="25"/>
        </w:rPr>
        <w:t>Business Intelligence</w:t>
      </w:r>
    </w:p>
    <w:p>
      <w:pPr>
        <w:spacing w:after="160" w:line="283" w:lineRule="auto"/>
      </w:pPr>
      <w:r>
        <w:rPr>
          <w:rFonts w:ascii="Arial" w:hAnsi="Arial" w:eastAsia="Arial"/>
          <w:b w:val="0"/>
          <w:i w:val="0"/>
          <w:sz w:val="22"/>
        </w:rPr>
        <w:t>Una vista más ejecutiva sobre el mismo rango de fechas: fichas de indicadores clave (valor de inventario, compras, ventas, cantidad de ventas, margen bruto, crecimiento de ventas), un gráfico de ventas vs. compras por día, el proveedor y producto principal del período, y las tablas de producto con mayor y menor margen. Tiene su propio botón de exportación a Excel, independiente del de Consolidado.</w:t>
      </w:r>
    </w:p>
    <w:p>
      <w:pPr>
        <w:keepNext/>
        <w:spacing w:before="440" w:after="200"/>
        <w:pBdr>
          <w:bottom w:val="single" w:sz="8" w:space="4" w:color="C89B3C"/>
        </w:pBdr>
      </w:pPr>
      <w:r>
        <w:rPr>
          <w:rFonts w:ascii="Arial" w:hAnsi="Arial" w:eastAsia="Arial"/>
          <w:b/>
          <w:i w:val="0"/>
          <w:color w:val="0B1F3A"/>
          <w:sz w:val="36"/>
        </w:rPr>
        <w:t>14. Business Intelligence</w:t>
      </w:r>
    </w:p>
    <w:p>
      <w:pPr>
        <w:spacing w:after="160" w:line="283" w:lineRule="auto"/>
      </w:pPr>
      <w:r>
        <w:rPr>
          <w:rFonts w:ascii="Arial" w:hAnsi="Arial" w:eastAsia="Arial"/>
          <w:b w:val="0"/>
          <w:i w:val="0"/>
          <w:sz w:val="22"/>
        </w:rPr>
        <w:t>Ver el detalle funcional en la sección Reportes. Desde el punto de vista de arquitectura, Business Intelligence reutiliza la misma API de reportes del proceso principal (window.opshield.reports) que alimenta Consolidado, pero construye una presentación distinta orientada a lectura ejecutiva rápida (fichas de KPI + gráfico + rankings) en lugar de una tabla detallada por período.</w:t>
      </w:r>
    </w:p>
    <w:p>
      <w:pPr>
        <w:keepNext/>
        <w:spacing w:before="440" w:after="200"/>
        <w:pBdr>
          <w:bottom w:val="single" w:sz="8" w:space="4" w:color="C89B3C"/>
        </w:pBdr>
      </w:pPr>
      <w:r>
        <w:rPr>
          <w:rFonts w:ascii="Arial" w:hAnsi="Arial" w:eastAsia="Arial"/>
          <w:b/>
          <w:i w:val="0"/>
          <w:color w:val="0B1F3A"/>
          <w:sz w:val="36"/>
        </w:rPr>
        <w:t>15. Portal del Cliente</w:t>
      </w:r>
    </w:p>
    <w:p>
      <w:pPr>
        <w:spacing w:after="160" w:line="283" w:lineRule="auto"/>
      </w:pPr>
      <w:r>
        <w:rPr>
          <w:rFonts w:ascii="Arial" w:hAnsi="Arial" w:eastAsia="Arial"/>
          <w:b w:val="0"/>
          <w:i w:val="0"/>
          <w:sz w:val="22"/>
        </w:rPr>
        <w:t>IMPORTANTE: el Portal del Cliente todavía no es una función del software de escritorio. Existe hoy únicamente como una página de presentación en el sitio web (portal-cliente.html), sin conexión real a ninguna base de datos ni backend. No debe describirse ni ofrecerse a clientes como una función disponible dentro de la aplicación Ledyvas en esta versión. Cuando se desarrolle una versión funcional, esta sección del manual deberá actualizarse con el flujo real.</w:t>
      </w:r>
    </w:p>
    <w:p>
      <w:pPr>
        <w:keepNext/>
        <w:spacing w:before="440" w:after="200"/>
        <w:pBdr>
          <w:bottom w:val="single" w:sz="8" w:space="4" w:color="C89B3C"/>
        </w:pBdr>
      </w:pPr>
      <w:r>
        <w:rPr>
          <w:rFonts w:ascii="Arial" w:hAnsi="Arial" w:eastAsia="Arial"/>
          <w:b/>
          <w:i w:val="0"/>
          <w:color w:val="0B1F3A"/>
          <w:sz w:val="36"/>
        </w:rPr>
        <w:t>16. Administración</w:t>
      </w:r>
    </w:p>
    <w:p>
      <w:pPr>
        <w:spacing w:after="160" w:line="283" w:lineRule="auto"/>
      </w:pPr>
      <w:r>
        <w:rPr>
          <w:rFonts w:ascii="Arial" w:hAnsi="Arial" w:eastAsia="Arial"/>
          <w:b w:val="0"/>
          <w:i w:val="0"/>
          <w:sz w:val="22"/>
        </w:rPr>
        <w:t>No existe un módulo de "Administración" separado ni un panel de superusuario: las tareas administrativas de Ledyvas están repartidas entre Configuración (moneda, categorías), el mantenimiento manual de la carpeta Data/Backup (ver Seguridad) y el reemplazo manual del programa para actualizar de versión.</w:t>
      </w:r>
    </w:p>
    <w:p>
      <w:pPr>
        <w:keepNext/>
        <w:spacing w:before="440" w:after="200"/>
        <w:pBdr>
          <w:bottom w:val="single" w:sz="8" w:space="4" w:color="C89B3C"/>
        </w:pBdr>
      </w:pPr>
      <w:r>
        <w:rPr>
          <w:rFonts w:ascii="Arial" w:hAnsi="Arial" w:eastAsia="Arial"/>
          <w:b/>
          <w:i w:val="0"/>
          <w:color w:val="0B1F3A"/>
          <w:sz w:val="36"/>
        </w:rPr>
        <w:t>17. Seguridad</w:t>
      </w:r>
    </w:p>
    <w:p>
      <w:pPr>
        <w:keepNext/>
        <w:spacing w:before="240" w:after="80"/>
      </w:pPr>
      <w:r>
        <w:rPr>
          <w:rFonts w:ascii="Arial" w:hAnsi="Arial" w:eastAsia="Arial"/>
          <w:b/>
          <w:i w:val="0"/>
          <w:color w:val="1E4FAF"/>
          <w:sz w:val="25"/>
        </w:rPr>
        <w:t>Modelo de seguridad de datos</w:t>
      </w:r>
    </w:p>
    <w:p>
      <w:pPr>
        <w:spacing w:after="160" w:line="283" w:lineRule="auto"/>
      </w:pPr>
      <w:r>
        <w:rPr>
          <w:rFonts w:ascii="Arial" w:hAnsi="Arial" w:eastAsia="Arial"/>
          <w:b w:val="0"/>
          <w:i w:val="0"/>
          <w:sz w:val="22"/>
        </w:rPr>
        <w:t>Ledyvas no implementa autenticación ni control de acceso por usuario: cualquier persona con acceso a la computadora (o a la memoria USB, en la versión portátil) tiene acceso completo a la aplicación y a los datos. La protección de la información depende, en esta versión, del control de acceso físico al dispositivo, no de una función del software.</w:t>
      </w:r>
    </w:p>
    <w:p>
      <w:pPr>
        <w:keepNext/>
        <w:spacing w:before="240" w:after="80"/>
      </w:pPr>
      <w:r>
        <w:rPr>
          <w:rFonts w:ascii="Arial" w:hAnsi="Arial" w:eastAsia="Arial"/>
          <w:b/>
          <w:i w:val="0"/>
          <w:color w:val="1E4FAF"/>
          <w:sz w:val="25"/>
        </w:rPr>
        <w:t>Copias de seguridad</w:t>
      </w:r>
    </w:p>
    <w:p>
      <w:pPr>
        <w:spacing w:after="160" w:line="283" w:lineRule="auto"/>
      </w:pPr>
      <w:r>
        <w:rPr>
          <w:rFonts w:ascii="Arial" w:hAnsi="Arial" w:eastAsia="Arial"/>
          <w:b w:val="0"/>
          <w:i w:val="0"/>
          <w:sz w:val="22"/>
        </w:rPr>
        <w:t>No hay backup automático. La carpeta Backup se crea vacía junto al programa, lista para que el usuario copie ahí (o a cualquier otra ubicación) el contenido de la carpeta Data —que es donde vive realmente la base de datos— con la frecuencia que considere adecuada.</w:t>
      </w:r>
    </w:p>
    <w:p>
      <w:pPr>
        <w:keepNext/>
        <w:spacing w:before="240" w:after="80"/>
      </w:pPr>
      <w:r>
        <w:rPr>
          <w:rFonts w:ascii="Arial" w:hAnsi="Arial" w:eastAsia="Arial"/>
          <w:b/>
          <w:i w:val="0"/>
          <w:color w:val="1E4FAF"/>
          <w:sz w:val="25"/>
        </w:rPr>
        <w:t>Privacidad</w:t>
      </w:r>
    </w:p>
    <w:p>
      <w:pPr>
        <w:spacing w:after="160" w:line="283" w:lineRule="auto"/>
      </w:pPr>
      <w:r>
        <w:rPr>
          <w:rFonts w:ascii="Arial" w:hAnsi="Arial" w:eastAsia="Arial"/>
          <w:b w:val="0"/>
          <w:i w:val="0"/>
          <w:sz w:val="22"/>
        </w:rPr>
        <w:t>Ningún dato cargado dentro de la aplicación (clientes, productos, ventas, compras) se transmite a servidores de Ledyvas ni de terceros: todo permanece local. La única información que Ledyvas como empresa puede llegar a recibir es la que el usuario envía voluntariamente por email (por ejemplo, para soporte), según se detalla en la Política de Privacidad publicada en el sitio web.</w:t>
      </w:r>
    </w:p>
    <w:p>
      <w:pPr>
        <w:keepNext/>
        <w:spacing w:before="440" w:after="200"/>
        <w:pBdr>
          <w:bottom w:val="single" w:sz="8" w:space="4" w:color="C89B3C"/>
        </w:pBdr>
      </w:pPr>
      <w:r>
        <w:rPr>
          <w:rFonts w:ascii="Arial" w:hAnsi="Arial" w:eastAsia="Arial"/>
          <w:b/>
          <w:i w:val="0"/>
          <w:color w:val="0B1F3A"/>
          <w:sz w:val="36"/>
        </w:rPr>
        <w:t>18. Casos Prácticos</w:t>
      </w:r>
    </w:p>
    <w:p>
      <w:pPr>
        <w:keepNext/>
        <w:spacing w:before="240" w:after="80"/>
      </w:pPr>
      <w:r>
        <w:rPr>
          <w:rFonts w:ascii="Arial" w:hAnsi="Arial" w:eastAsia="Arial"/>
          <w:b/>
          <w:i w:val="0"/>
          <w:color w:val="1E4FAF"/>
          <w:sz w:val="25"/>
        </w:rPr>
        <w:t>Caso 1 — Venta a un comensal con fórmula configurada</w:t>
      </w:r>
    </w:p>
    <w:p>
      <w:pPr>
        <w:spacing w:after="160" w:line="283" w:lineRule="auto"/>
      </w:pPr>
      <w:r>
        <w:rPr>
          <w:rFonts w:ascii="Arial" w:hAnsi="Arial" w:eastAsia="Arial"/>
          <w:b w:val="0"/>
          <w:i w:val="0"/>
          <w:sz w:val="22"/>
        </w:rPr>
        <w:t>Un cliente de excursiones vende almuerzo a bordo con una fórmula de "2 bebidas por persona". El operador abre Ventas, selecciona el cliente y el destino, ingresa 18 comensales, y Ledyvas completa automáticamente 36 unidades de la bebida configurada. El operador ajusta si algún pasajero pidió una unidad extra, y confirma la venta.</w:t>
      </w:r>
    </w:p>
    <w:p>
      <w:pPr>
        <w:keepNext/>
        <w:spacing w:before="240" w:after="80"/>
      </w:pPr>
      <w:r>
        <w:rPr>
          <w:rFonts w:ascii="Arial" w:hAnsi="Arial" w:eastAsia="Arial"/>
          <w:b/>
          <w:i w:val="0"/>
          <w:color w:val="1E4FAF"/>
          <w:sz w:val="25"/>
        </w:rPr>
        <w:t>Caso 2 — Traslado, reventa y devolución con un revendedor</w:t>
      </w:r>
    </w:p>
    <w:p>
      <w:pPr>
        <w:spacing w:after="160" w:line="283" w:lineRule="auto"/>
      </w:pPr>
      <w:r>
        <w:rPr>
          <w:rFonts w:ascii="Arial" w:hAnsi="Arial" w:eastAsia="Arial"/>
          <w:b w:val="0"/>
          <w:i w:val="0"/>
          <w:sz w:val="22"/>
        </w:rPr>
        <w:t>Se envían 50 unidades de un producto a un cliente revendedor (Traslado: almacén -50, revendedor +50). El revendedor vende 40 a compradores externos (Reventa: revendedor -40, con costo/precio/ganancia calculados). Al cierre, devuelve las 10 restantes (Devolución de traslado: revendedor -10, almacén +10). En ningún momento del proceso se generó una venta directa de Ledyvas: el ingreso real se refleja recién en los registros de Reventa.</w:t>
      </w:r>
    </w:p>
    <w:p>
      <w:pPr>
        <w:keepNext/>
        <w:spacing w:before="240" w:after="80"/>
      </w:pPr>
      <w:r>
        <w:rPr>
          <w:rFonts w:ascii="Arial" w:hAnsi="Arial" w:eastAsia="Arial"/>
          <w:b/>
          <w:i w:val="0"/>
          <w:color w:val="1E4FAF"/>
          <w:sz w:val="25"/>
        </w:rPr>
        <w:t>Caso 3 — Producto con historial que ya no se vende</w:t>
      </w:r>
    </w:p>
    <w:p>
      <w:pPr>
        <w:spacing w:after="160" w:line="283" w:lineRule="auto"/>
      </w:pPr>
      <w:r>
        <w:rPr>
          <w:rFonts w:ascii="Arial" w:hAnsi="Arial" w:eastAsia="Arial"/>
          <w:b w:val="0"/>
          <w:i w:val="0"/>
          <w:sz w:val="22"/>
        </w:rPr>
        <w:t>Un producto discontinuado tiene compras y ventas históricas asociadas. Al intentar eliminarlo desde Productos, Ledyvas detecta ese historial y lo desactiva en lugar de borrarlo: deja de estar disponible para nuevas compras o ventas, pero los reportes históricos que lo mencionan siguen siendo correctos y consultables.</w:t>
      </w:r>
    </w:p>
    <w:p>
      <w:pPr>
        <w:keepNext/>
        <w:spacing w:before="240" w:after="80"/>
      </w:pPr>
      <w:r>
        <w:rPr>
          <w:rFonts w:ascii="Arial" w:hAnsi="Arial" w:eastAsia="Arial"/>
          <w:b/>
          <w:i w:val="0"/>
          <w:color w:val="1E4FAF"/>
          <w:sz w:val="25"/>
        </w:rPr>
        <w:t>Caso 4 — Migrar Ledyvas a una computadora nueva</w:t>
      </w:r>
    </w:p>
    <w:p>
      <w:pPr>
        <w:spacing w:after="160" w:line="283" w:lineRule="auto"/>
      </w:pPr>
      <w:r>
        <w:rPr>
          <w:rFonts w:ascii="Arial" w:hAnsi="Arial" w:eastAsia="Arial"/>
          <w:b w:val="0"/>
          <w:i w:val="0"/>
          <w:sz w:val="22"/>
        </w:rPr>
        <w:t>Se cierra Ledyvas, se copia la carpeta completa del programa (incluida la carpeta Data) a la computadora nueva, y se ejecuta el programa desde ahí. No hace falta reinstalar ni volver a cargar información: toda la base de datos viaja dentro de la carpeta Data.</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